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76" w:rsidRDefault="00461C76">
      <w:pPr>
        <w:rPr>
          <w:rFonts w:asciiTheme="minorHAnsi" w:hAnsiTheme="minorHAnsi"/>
          <w:lang w:val="en-US"/>
        </w:rPr>
      </w:pPr>
    </w:p>
    <w:p w:rsidR="00461C76" w:rsidRPr="00461C76" w:rsidRDefault="00461C76">
      <w:pPr>
        <w:rPr>
          <w:rFonts w:asciiTheme="minorHAnsi" w:hAnsiTheme="minorHAnsi"/>
          <w:b/>
          <w:sz w:val="28"/>
          <w:szCs w:val="28"/>
          <w:lang w:val="en-US"/>
        </w:rPr>
      </w:pPr>
      <w:r w:rsidRPr="00461C76">
        <w:rPr>
          <w:rFonts w:asciiTheme="minorHAnsi" w:hAnsiTheme="minorHAnsi"/>
          <w:b/>
          <w:sz w:val="28"/>
          <w:szCs w:val="28"/>
          <w:lang w:val="en-US"/>
        </w:rPr>
        <w:t xml:space="preserve">Useful links pertaining to Safety matters </w:t>
      </w:r>
    </w:p>
    <w:p w:rsidR="00461C76" w:rsidRDefault="00461C76">
      <w:pPr>
        <w:rPr>
          <w:rFonts w:asciiTheme="minorHAnsi" w:hAnsiTheme="minorHAnsi"/>
          <w:lang w:val="en-US"/>
        </w:rPr>
      </w:pPr>
    </w:p>
    <w:p w:rsidR="00205C60" w:rsidRPr="00461C76" w:rsidRDefault="00957E7B">
      <w:pPr>
        <w:rPr>
          <w:rFonts w:asciiTheme="minorHAnsi" w:hAnsiTheme="minorHAnsi"/>
          <w:lang w:val="en-US"/>
        </w:rPr>
      </w:pPr>
      <w:r w:rsidRPr="00461C76">
        <w:rPr>
          <w:rFonts w:asciiTheme="minorHAnsi" w:hAnsiTheme="minorHAnsi"/>
          <w:lang w:val="en-US"/>
        </w:rPr>
        <w:t xml:space="preserve">TANDI </w:t>
      </w:r>
      <w:r w:rsidR="00205C60" w:rsidRPr="00461C76">
        <w:rPr>
          <w:rFonts w:asciiTheme="minorHAnsi" w:hAnsiTheme="minorHAnsi"/>
          <w:lang w:val="en-US"/>
        </w:rPr>
        <w:t xml:space="preserve">strive to keep you informed of any </w:t>
      </w:r>
      <w:r w:rsidR="00EE615B" w:rsidRPr="00461C76">
        <w:rPr>
          <w:rFonts w:asciiTheme="minorHAnsi" w:hAnsiTheme="minorHAnsi"/>
          <w:lang w:val="en-US"/>
        </w:rPr>
        <w:t xml:space="preserve">major </w:t>
      </w:r>
      <w:r w:rsidR="00205C60" w:rsidRPr="00461C76">
        <w:rPr>
          <w:rFonts w:asciiTheme="minorHAnsi" w:hAnsiTheme="minorHAnsi"/>
          <w:lang w:val="en-US"/>
        </w:rPr>
        <w:t xml:space="preserve">changes to </w:t>
      </w:r>
      <w:r w:rsidR="00640F7F" w:rsidRPr="00461C76">
        <w:rPr>
          <w:rFonts w:asciiTheme="minorHAnsi" w:hAnsiTheme="minorHAnsi"/>
          <w:lang w:val="en-US"/>
        </w:rPr>
        <w:t xml:space="preserve">legislation. </w:t>
      </w:r>
      <w:r w:rsidR="00205C60" w:rsidRPr="00461C76">
        <w:rPr>
          <w:rFonts w:asciiTheme="minorHAnsi" w:hAnsiTheme="minorHAnsi"/>
          <w:lang w:val="en-US"/>
        </w:rPr>
        <w:t xml:space="preserve">However, you should </w:t>
      </w:r>
      <w:r w:rsidR="00C403C3" w:rsidRPr="00461C76">
        <w:rPr>
          <w:rFonts w:asciiTheme="minorHAnsi" w:hAnsiTheme="minorHAnsi"/>
          <w:lang w:val="en-US"/>
        </w:rPr>
        <w:t xml:space="preserve">frequently </w:t>
      </w:r>
      <w:r w:rsidR="00EE615B" w:rsidRPr="00461C76">
        <w:rPr>
          <w:rFonts w:asciiTheme="minorHAnsi" w:hAnsiTheme="minorHAnsi"/>
          <w:lang w:val="en-US"/>
        </w:rPr>
        <w:t>check with your State</w:t>
      </w:r>
      <w:r w:rsidR="001130AB" w:rsidRPr="00461C76">
        <w:rPr>
          <w:rFonts w:asciiTheme="minorHAnsi" w:hAnsiTheme="minorHAnsi"/>
          <w:lang w:val="en-US"/>
        </w:rPr>
        <w:t xml:space="preserve"> or Territory’s </w:t>
      </w:r>
      <w:r w:rsidR="00EE615B" w:rsidRPr="00461C76">
        <w:rPr>
          <w:rFonts w:asciiTheme="minorHAnsi" w:hAnsiTheme="minorHAnsi"/>
          <w:lang w:val="en-US"/>
        </w:rPr>
        <w:t xml:space="preserve">designated Safety Authority </w:t>
      </w:r>
      <w:r w:rsidR="00C403C3" w:rsidRPr="00461C76">
        <w:rPr>
          <w:rFonts w:asciiTheme="minorHAnsi" w:hAnsiTheme="minorHAnsi"/>
          <w:lang w:val="en-US"/>
        </w:rPr>
        <w:t xml:space="preserve">to ensure </w:t>
      </w:r>
      <w:r w:rsidR="00640F7F" w:rsidRPr="00461C76">
        <w:rPr>
          <w:rFonts w:asciiTheme="minorHAnsi" w:hAnsiTheme="minorHAnsi"/>
          <w:lang w:val="en-US"/>
        </w:rPr>
        <w:t xml:space="preserve">ongoing </w:t>
      </w:r>
      <w:r w:rsidR="00C403C3" w:rsidRPr="00461C76">
        <w:rPr>
          <w:rFonts w:asciiTheme="minorHAnsi" w:hAnsiTheme="minorHAnsi"/>
          <w:lang w:val="en-US"/>
        </w:rPr>
        <w:t>compliance</w:t>
      </w:r>
      <w:r w:rsidRPr="00461C76">
        <w:rPr>
          <w:rFonts w:asciiTheme="minorHAnsi" w:hAnsiTheme="minorHAnsi"/>
          <w:lang w:val="en-US"/>
        </w:rPr>
        <w:t xml:space="preserve"> of your specific workplace activity.</w:t>
      </w:r>
    </w:p>
    <w:p w:rsidR="001130AB" w:rsidRPr="00461C76" w:rsidRDefault="001130AB" w:rsidP="00957E7B">
      <w:pPr>
        <w:pStyle w:val="NormalWeb"/>
        <w:spacing w:before="0" w:beforeAutospacing="0" w:after="0" w:afterAutospacing="0" w:line="293" w:lineRule="atLeast"/>
        <w:textAlignment w:val="baseline"/>
        <w:rPr>
          <w:rFonts w:asciiTheme="minorHAnsi" w:hAnsiTheme="minorHAnsi" w:cs="Arial"/>
        </w:rPr>
      </w:pPr>
    </w:p>
    <w:p w:rsidR="00957E7B" w:rsidRPr="00461C76" w:rsidRDefault="001130AB" w:rsidP="00957E7B">
      <w:pPr>
        <w:pStyle w:val="NormalWeb"/>
        <w:spacing w:before="0" w:beforeAutospacing="0" w:after="0" w:afterAutospacing="0" w:line="293" w:lineRule="atLeast"/>
        <w:textAlignment w:val="baseline"/>
        <w:rPr>
          <w:rFonts w:asciiTheme="minorHAnsi" w:hAnsiTheme="minorHAnsi" w:cs="Arial"/>
        </w:rPr>
      </w:pPr>
      <w:r w:rsidRPr="00461C76">
        <w:rPr>
          <w:rFonts w:asciiTheme="minorHAnsi" w:hAnsiTheme="minorHAnsi" w:cs="Arial"/>
        </w:rPr>
        <w:t>You should also c</w:t>
      </w:r>
      <w:r w:rsidR="00957E7B" w:rsidRPr="00461C76">
        <w:rPr>
          <w:rFonts w:asciiTheme="minorHAnsi" w:hAnsiTheme="minorHAnsi" w:cs="Arial"/>
        </w:rPr>
        <w:t xml:space="preserve">ontact your </w:t>
      </w:r>
      <w:r w:rsidRPr="00461C76">
        <w:rPr>
          <w:rFonts w:asciiTheme="minorHAnsi" w:hAnsiTheme="minorHAnsi" w:cs="Arial"/>
        </w:rPr>
        <w:t xml:space="preserve">State or Territory </w:t>
      </w:r>
      <w:r w:rsidRPr="00461C76">
        <w:rPr>
          <w:rFonts w:asciiTheme="minorHAnsi" w:hAnsiTheme="minorHAnsi"/>
          <w:lang w:val="en-US"/>
        </w:rPr>
        <w:t xml:space="preserve">Safety Authority </w:t>
      </w:r>
      <w:r w:rsidR="00957E7B" w:rsidRPr="00461C76">
        <w:rPr>
          <w:rFonts w:asciiTheme="minorHAnsi" w:hAnsiTheme="minorHAnsi" w:cs="Arial"/>
        </w:rPr>
        <w:t>for information and advice on:</w:t>
      </w:r>
    </w:p>
    <w:p w:rsidR="00957E7B" w:rsidRPr="00461C76" w:rsidRDefault="00957E7B" w:rsidP="00957E7B">
      <w:pPr>
        <w:numPr>
          <w:ilvl w:val="0"/>
          <w:numId w:val="13"/>
        </w:numPr>
        <w:spacing w:line="293" w:lineRule="atLeast"/>
        <w:ind w:left="0"/>
        <w:textAlignment w:val="baseline"/>
        <w:rPr>
          <w:rFonts w:asciiTheme="minorHAnsi" w:hAnsiTheme="minorHAnsi" w:cs="Arial"/>
          <w:b/>
        </w:rPr>
      </w:pPr>
      <w:r w:rsidRPr="00461C76">
        <w:rPr>
          <w:rFonts w:asciiTheme="minorHAnsi" w:hAnsiTheme="minorHAnsi" w:cs="Arial"/>
          <w:b/>
        </w:rPr>
        <w:t>Complying with Work Health and Safety laws.</w:t>
      </w:r>
    </w:p>
    <w:p w:rsidR="00957E7B" w:rsidRPr="00461C76" w:rsidRDefault="00957E7B" w:rsidP="00957E7B">
      <w:pPr>
        <w:numPr>
          <w:ilvl w:val="0"/>
          <w:numId w:val="13"/>
        </w:numPr>
        <w:spacing w:line="293" w:lineRule="atLeast"/>
        <w:ind w:left="0"/>
        <w:textAlignment w:val="baseline"/>
        <w:rPr>
          <w:rFonts w:asciiTheme="minorHAnsi" w:hAnsiTheme="minorHAnsi" w:cs="Arial"/>
          <w:b/>
        </w:rPr>
      </w:pPr>
      <w:r w:rsidRPr="00461C76">
        <w:rPr>
          <w:rFonts w:asciiTheme="minorHAnsi" w:hAnsiTheme="minorHAnsi" w:cs="Arial"/>
          <w:b/>
        </w:rPr>
        <w:t>Reporting a workplace incident.</w:t>
      </w:r>
    </w:p>
    <w:p w:rsidR="00957E7B" w:rsidRPr="00461C76" w:rsidRDefault="00957E7B" w:rsidP="00957E7B">
      <w:pPr>
        <w:numPr>
          <w:ilvl w:val="0"/>
          <w:numId w:val="13"/>
        </w:numPr>
        <w:spacing w:line="293" w:lineRule="atLeast"/>
        <w:ind w:left="0"/>
        <w:textAlignment w:val="baseline"/>
        <w:rPr>
          <w:rFonts w:asciiTheme="minorHAnsi" w:hAnsiTheme="minorHAnsi" w:cs="Arial"/>
          <w:b/>
        </w:rPr>
      </w:pPr>
      <w:r w:rsidRPr="00461C76">
        <w:rPr>
          <w:rFonts w:asciiTheme="minorHAnsi" w:hAnsiTheme="minorHAnsi" w:cs="Arial"/>
          <w:b/>
        </w:rPr>
        <w:t>Renewing or applying for licences.</w:t>
      </w:r>
    </w:p>
    <w:p w:rsidR="00957E7B" w:rsidRPr="00461C76" w:rsidRDefault="00957E7B" w:rsidP="00957E7B">
      <w:pPr>
        <w:numPr>
          <w:ilvl w:val="0"/>
          <w:numId w:val="13"/>
        </w:numPr>
        <w:spacing w:line="293" w:lineRule="atLeast"/>
        <w:ind w:left="0"/>
        <w:textAlignment w:val="baseline"/>
        <w:rPr>
          <w:rFonts w:asciiTheme="minorHAnsi" w:hAnsiTheme="minorHAnsi" w:cs="Arial"/>
          <w:b/>
        </w:rPr>
      </w:pPr>
      <w:r w:rsidRPr="00461C76">
        <w:rPr>
          <w:rFonts w:asciiTheme="minorHAnsi" w:hAnsiTheme="minorHAnsi" w:cs="Arial"/>
          <w:b/>
        </w:rPr>
        <w:t>Workers' compensation claims.</w:t>
      </w:r>
    </w:p>
    <w:p w:rsidR="00957E7B" w:rsidRPr="00461C76" w:rsidRDefault="00957E7B" w:rsidP="00957E7B">
      <w:pPr>
        <w:numPr>
          <w:ilvl w:val="0"/>
          <w:numId w:val="13"/>
        </w:numPr>
        <w:spacing w:line="293" w:lineRule="atLeast"/>
        <w:ind w:left="0"/>
        <w:textAlignment w:val="baseline"/>
        <w:rPr>
          <w:rFonts w:asciiTheme="minorHAnsi" w:hAnsiTheme="minorHAnsi" w:cs="Arial"/>
          <w:b/>
        </w:rPr>
      </w:pPr>
      <w:r w:rsidRPr="00461C76">
        <w:rPr>
          <w:rFonts w:asciiTheme="minorHAnsi" w:hAnsiTheme="minorHAnsi" w:cs="Arial"/>
          <w:b/>
        </w:rPr>
        <w:t>Registering plant and plant designs.</w:t>
      </w:r>
    </w:p>
    <w:p w:rsidR="00957E7B" w:rsidRPr="00461C76" w:rsidRDefault="00957E7B" w:rsidP="00957E7B">
      <w:pPr>
        <w:rPr>
          <w:rFonts w:asciiTheme="minorHAnsi" w:hAnsiTheme="minorHAnsi"/>
        </w:rPr>
      </w:pPr>
    </w:p>
    <w:p w:rsidR="00957E7B" w:rsidRPr="00461C76" w:rsidRDefault="007F3F93" w:rsidP="00957E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Here are the links:</w:t>
      </w:r>
    </w:p>
    <w:p w:rsidR="00EE615B" w:rsidRPr="00461C76" w:rsidRDefault="00EE615B">
      <w:pPr>
        <w:rPr>
          <w:rFonts w:asciiTheme="minorHAnsi" w:hAnsiTheme="minorHAnsi"/>
          <w:lang w:val="en-US"/>
        </w:rPr>
      </w:pPr>
    </w:p>
    <w:p w:rsidR="009D5A11" w:rsidRPr="00461C76" w:rsidRDefault="009D5A11" w:rsidP="009D5A11">
      <w:pPr>
        <w:rPr>
          <w:rFonts w:asciiTheme="minorHAnsi" w:hAnsiTheme="minorHAnsi"/>
          <w:lang w:val="pt-BR"/>
        </w:rPr>
      </w:pPr>
      <w:r w:rsidRPr="00461C76">
        <w:rPr>
          <w:rFonts w:asciiTheme="minorHAnsi" w:hAnsiTheme="minorHAnsi"/>
          <w:lang w:val="pt-BR"/>
        </w:rPr>
        <w:t xml:space="preserve">QLD </w:t>
      </w:r>
      <w:hyperlink r:id="rId8" w:history="1">
        <w:r w:rsidR="00FB353D" w:rsidRPr="00461C76">
          <w:rPr>
            <w:rStyle w:val="Hyperlink"/>
            <w:rFonts w:asciiTheme="minorHAnsi" w:hAnsiTheme="minorHAnsi"/>
            <w:lang w:val="pt-BR"/>
          </w:rPr>
          <w:t>https://www.worksafe.qld.gov.au</w:t>
        </w:r>
      </w:hyperlink>
      <w:r w:rsidRPr="00461C76">
        <w:rPr>
          <w:rFonts w:asciiTheme="minorHAnsi" w:hAnsiTheme="minorHAnsi"/>
          <w:lang w:val="pt-BR"/>
        </w:rPr>
        <w:t xml:space="preserve"> </w:t>
      </w:r>
    </w:p>
    <w:p w:rsidR="009D5A11" w:rsidRPr="00461C76" w:rsidRDefault="009D5A11" w:rsidP="009D5A11">
      <w:pPr>
        <w:rPr>
          <w:rFonts w:asciiTheme="minorHAnsi" w:hAnsiTheme="minorHAnsi"/>
          <w:lang w:val="en-US"/>
        </w:rPr>
      </w:pPr>
      <w:r w:rsidRPr="00461C76">
        <w:rPr>
          <w:rFonts w:asciiTheme="minorHAnsi" w:hAnsiTheme="minorHAnsi"/>
          <w:lang w:val="en-US"/>
        </w:rPr>
        <w:t xml:space="preserve">NSW </w:t>
      </w:r>
      <w:hyperlink r:id="rId9" w:history="1">
        <w:r w:rsidRPr="00461C76">
          <w:rPr>
            <w:rStyle w:val="Hyperlink"/>
            <w:rFonts w:asciiTheme="minorHAnsi" w:hAnsiTheme="minorHAnsi"/>
            <w:lang w:val="en-US"/>
          </w:rPr>
          <w:t>http://www.workcover.nsw.gov.au</w:t>
        </w:r>
      </w:hyperlink>
      <w:r w:rsidRPr="00461C76">
        <w:rPr>
          <w:rFonts w:asciiTheme="minorHAnsi" w:hAnsiTheme="minorHAnsi"/>
          <w:lang w:val="en-US"/>
        </w:rPr>
        <w:t xml:space="preserve"> </w:t>
      </w:r>
    </w:p>
    <w:p w:rsidR="009D5A11" w:rsidRPr="00461C76" w:rsidRDefault="009D5A11" w:rsidP="009D5A11">
      <w:pPr>
        <w:rPr>
          <w:rFonts w:asciiTheme="minorHAnsi" w:hAnsiTheme="minorHAnsi"/>
          <w:lang w:val="en-US"/>
        </w:rPr>
      </w:pPr>
      <w:r w:rsidRPr="00461C76">
        <w:rPr>
          <w:rFonts w:asciiTheme="minorHAnsi" w:hAnsiTheme="minorHAnsi"/>
          <w:lang w:val="en-US"/>
        </w:rPr>
        <w:t xml:space="preserve">VIC </w:t>
      </w:r>
      <w:hyperlink r:id="rId10" w:history="1">
        <w:r w:rsidRPr="00461C76">
          <w:rPr>
            <w:rStyle w:val="Hyperlink"/>
            <w:rFonts w:asciiTheme="minorHAnsi" w:hAnsiTheme="minorHAnsi"/>
          </w:rPr>
          <w:t>http://www.worksafe.vic.gov.au/</w:t>
        </w:r>
      </w:hyperlink>
    </w:p>
    <w:p w:rsidR="009D5A11" w:rsidRPr="00461C76" w:rsidRDefault="009D5A11" w:rsidP="009D5A11">
      <w:pPr>
        <w:rPr>
          <w:rFonts w:asciiTheme="minorHAnsi" w:hAnsiTheme="minorHAnsi"/>
          <w:lang w:val="en-US"/>
        </w:rPr>
      </w:pPr>
      <w:r w:rsidRPr="00461C76">
        <w:rPr>
          <w:rFonts w:asciiTheme="minorHAnsi" w:hAnsiTheme="minorHAnsi"/>
          <w:lang w:val="en-US"/>
        </w:rPr>
        <w:t>T</w:t>
      </w:r>
      <w:r w:rsidR="00F02E30" w:rsidRPr="00461C76">
        <w:rPr>
          <w:rFonts w:asciiTheme="minorHAnsi" w:hAnsiTheme="minorHAnsi"/>
          <w:lang w:val="en-US"/>
        </w:rPr>
        <w:t xml:space="preserve">AS </w:t>
      </w:r>
      <w:hyperlink r:id="rId11" w:history="1">
        <w:r w:rsidRPr="00461C76">
          <w:rPr>
            <w:rStyle w:val="Hyperlink"/>
            <w:rFonts w:asciiTheme="minorHAnsi" w:hAnsiTheme="minorHAnsi"/>
          </w:rPr>
          <w:t>http://www.worksafe.tas.gov.au</w:t>
        </w:r>
      </w:hyperlink>
      <w:r w:rsidRPr="00461C76">
        <w:rPr>
          <w:rFonts w:asciiTheme="minorHAnsi" w:hAnsiTheme="minorHAnsi"/>
        </w:rPr>
        <w:t xml:space="preserve"> </w:t>
      </w:r>
    </w:p>
    <w:p w:rsidR="009D5A11" w:rsidRPr="00461C76" w:rsidRDefault="009D5A11" w:rsidP="009D5A11">
      <w:pPr>
        <w:rPr>
          <w:rFonts w:asciiTheme="minorHAnsi" w:hAnsiTheme="minorHAnsi"/>
          <w:lang w:val="en-US"/>
        </w:rPr>
      </w:pPr>
      <w:r w:rsidRPr="00461C76">
        <w:rPr>
          <w:rFonts w:asciiTheme="minorHAnsi" w:hAnsiTheme="minorHAnsi"/>
          <w:lang w:val="en-US"/>
        </w:rPr>
        <w:t xml:space="preserve">SA </w:t>
      </w:r>
      <w:hyperlink r:id="rId12" w:history="1">
        <w:r w:rsidRPr="00461C76">
          <w:rPr>
            <w:rStyle w:val="Hyperlink"/>
            <w:rFonts w:asciiTheme="minorHAnsi" w:hAnsiTheme="minorHAnsi"/>
            <w:lang w:val="en-US"/>
          </w:rPr>
          <w:t>http://www.safework.sa.gov.au/</w:t>
        </w:r>
      </w:hyperlink>
    </w:p>
    <w:p w:rsidR="00F02E30" w:rsidRPr="00461C76" w:rsidRDefault="009D5A11" w:rsidP="009D5A11">
      <w:pPr>
        <w:rPr>
          <w:rFonts w:asciiTheme="minorHAnsi" w:hAnsiTheme="minorHAnsi"/>
        </w:rPr>
      </w:pPr>
      <w:r w:rsidRPr="00461C76">
        <w:rPr>
          <w:rFonts w:asciiTheme="minorHAnsi" w:hAnsiTheme="minorHAnsi"/>
          <w:lang w:val="en-US"/>
        </w:rPr>
        <w:t xml:space="preserve">WA </w:t>
      </w:r>
      <w:hyperlink r:id="rId13" w:history="1">
        <w:r w:rsidR="00F02E30" w:rsidRPr="00461C76">
          <w:rPr>
            <w:rStyle w:val="Hyperlink"/>
            <w:rFonts w:asciiTheme="minorHAnsi" w:hAnsiTheme="minorHAnsi"/>
          </w:rPr>
          <w:t>http://www.commerce.wa.gov.au/worksafe</w:t>
        </w:r>
      </w:hyperlink>
    </w:p>
    <w:p w:rsidR="009D5A11" w:rsidRPr="00461C76" w:rsidRDefault="009D5A11" w:rsidP="009D5A11">
      <w:pPr>
        <w:rPr>
          <w:rFonts w:asciiTheme="minorHAnsi" w:hAnsiTheme="minorHAnsi"/>
        </w:rPr>
      </w:pPr>
      <w:r w:rsidRPr="00461C76">
        <w:rPr>
          <w:rFonts w:asciiTheme="minorHAnsi" w:hAnsiTheme="minorHAnsi"/>
          <w:lang w:val="en-US"/>
        </w:rPr>
        <w:t>NT</w:t>
      </w:r>
      <w:r w:rsidR="00F02E30" w:rsidRPr="00461C76">
        <w:rPr>
          <w:rFonts w:asciiTheme="minorHAnsi" w:hAnsiTheme="minorHAnsi"/>
          <w:lang w:val="en-US"/>
        </w:rPr>
        <w:t xml:space="preserve"> </w:t>
      </w:r>
      <w:hyperlink r:id="rId14" w:history="1">
        <w:r w:rsidR="00F02E30" w:rsidRPr="00461C76">
          <w:rPr>
            <w:rStyle w:val="Hyperlink"/>
            <w:rFonts w:asciiTheme="minorHAnsi" w:hAnsiTheme="minorHAnsi"/>
          </w:rPr>
          <w:t>http://www.worksafe.nt.gov.au/</w:t>
        </w:r>
      </w:hyperlink>
    </w:p>
    <w:p w:rsidR="00F02E30" w:rsidRPr="00461C76" w:rsidRDefault="00F02E30" w:rsidP="009D5A11">
      <w:pPr>
        <w:rPr>
          <w:rFonts w:asciiTheme="minorHAnsi" w:hAnsiTheme="minorHAnsi"/>
        </w:rPr>
      </w:pPr>
      <w:r w:rsidRPr="00461C76">
        <w:rPr>
          <w:rFonts w:asciiTheme="minorHAnsi" w:hAnsiTheme="minorHAnsi"/>
        </w:rPr>
        <w:t xml:space="preserve">ACT </w:t>
      </w:r>
      <w:hyperlink r:id="rId15" w:history="1">
        <w:r w:rsidRPr="00461C76">
          <w:rPr>
            <w:rStyle w:val="Hyperlink"/>
            <w:rFonts w:asciiTheme="minorHAnsi" w:hAnsiTheme="minorHAnsi"/>
          </w:rPr>
          <w:t>http://www.worksafe.act.gov.au/health_safety</w:t>
        </w:r>
      </w:hyperlink>
    </w:p>
    <w:p w:rsidR="00F02E30" w:rsidRPr="00461C76" w:rsidRDefault="00F02E30" w:rsidP="009D5A11">
      <w:pPr>
        <w:rPr>
          <w:rFonts w:asciiTheme="minorHAnsi" w:hAnsiTheme="minorHAnsi"/>
        </w:rPr>
      </w:pPr>
    </w:p>
    <w:p w:rsidR="00461C76" w:rsidRDefault="00461C76" w:rsidP="001130AB">
      <w:pPr>
        <w:rPr>
          <w:rFonts w:asciiTheme="minorHAnsi" w:hAnsiTheme="minorHAnsi"/>
          <w:lang w:val="pt-BR"/>
        </w:rPr>
      </w:pPr>
    </w:p>
    <w:p w:rsidR="001130AB" w:rsidRPr="00461C76" w:rsidRDefault="007F3F93" w:rsidP="001130AB">
      <w:pPr>
        <w:rPr>
          <w:rFonts w:asciiTheme="minorHAnsi" w:hAnsiTheme="minorHAnsi"/>
          <w:lang w:val="pt-BR"/>
        </w:rPr>
      </w:pPr>
      <w:hyperlink r:id="rId16" w:history="1">
        <w:r w:rsidR="001130AB" w:rsidRPr="00461C76">
          <w:rPr>
            <w:rStyle w:val="Hyperlink"/>
            <w:rFonts w:asciiTheme="minorHAnsi" w:hAnsiTheme="minorHAnsi"/>
            <w:lang w:val="pt-BR"/>
          </w:rPr>
          <w:t>Safe Work Australia</w:t>
        </w:r>
      </w:hyperlink>
      <w:r w:rsidR="001130AB" w:rsidRPr="00461C76">
        <w:rPr>
          <w:rFonts w:asciiTheme="minorHAnsi" w:hAnsiTheme="minorHAnsi"/>
          <w:lang w:val="pt-BR"/>
        </w:rPr>
        <w:t xml:space="preserve"> </w:t>
      </w:r>
    </w:p>
    <w:p w:rsidR="001130AB" w:rsidRPr="007F3F93" w:rsidRDefault="001130AB" w:rsidP="001130AB">
      <w:pPr>
        <w:rPr>
          <w:rFonts w:asciiTheme="minorHAnsi" w:hAnsiTheme="minorHAnsi"/>
          <w:lang w:val="en-US"/>
        </w:rPr>
      </w:pPr>
    </w:p>
    <w:p w:rsidR="001130AB" w:rsidRPr="007F3F93" w:rsidRDefault="001130AB" w:rsidP="001130AB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Theme="minorHAnsi" w:hAnsiTheme="minorHAnsi" w:cs="Arial"/>
        </w:rPr>
      </w:pPr>
      <w:r w:rsidRPr="007F3F93">
        <w:rPr>
          <w:rFonts w:asciiTheme="minorHAnsi" w:hAnsiTheme="minorHAnsi" w:cs="Arial"/>
        </w:rPr>
        <w:t xml:space="preserve">Safe Work Australia </w:t>
      </w:r>
      <w:r w:rsidR="00151AA8" w:rsidRPr="007F3F93">
        <w:rPr>
          <w:rFonts w:asciiTheme="minorHAnsi" w:hAnsiTheme="minorHAnsi" w:cs="Arial"/>
        </w:rPr>
        <w:t xml:space="preserve">the nation’s peak </w:t>
      </w:r>
      <w:r w:rsidRPr="007F3F93">
        <w:rPr>
          <w:rFonts w:asciiTheme="minorHAnsi" w:hAnsiTheme="minorHAnsi" w:cs="Arial"/>
        </w:rPr>
        <w:t xml:space="preserve">government agency </w:t>
      </w:r>
      <w:r w:rsidR="00151AA8" w:rsidRPr="007F3F93">
        <w:rPr>
          <w:rFonts w:asciiTheme="minorHAnsi" w:hAnsiTheme="minorHAnsi" w:cs="Arial"/>
        </w:rPr>
        <w:t xml:space="preserve">for workplace safety </w:t>
      </w:r>
      <w:r w:rsidRPr="007F3F93">
        <w:rPr>
          <w:rFonts w:asciiTheme="minorHAnsi" w:hAnsiTheme="minorHAnsi" w:cs="Arial"/>
        </w:rPr>
        <w:t>and works to coordinate and develop national policy and strategies as well as assist with the implementation of model work health and safety legislation in Australia.</w:t>
      </w:r>
    </w:p>
    <w:p w:rsidR="007F3F93" w:rsidRPr="00461C76" w:rsidRDefault="007F3F93" w:rsidP="001130AB">
      <w:pPr>
        <w:pStyle w:val="NormalWeb"/>
        <w:shd w:val="clear" w:color="auto" w:fill="FFFFFF"/>
        <w:spacing w:before="0" w:beforeAutospacing="0" w:after="360" w:afterAutospacing="0" w:line="293" w:lineRule="atLeast"/>
        <w:textAlignment w:val="baseline"/>
        <w:rPr>
          <w:rFonts w:asciiTheme="minorHAnsi" w:hAnsiTheme="minorHAnsi" w:cs="Arial"/>
          <w:color w:val="464646"/>
        </w:rPr>
      </w:pPr>
      <w:hyperlink r:id="rId17" w:history="1">
        <w:r w:rsidRPr="007F3F93">
          <w:rPr>
            <w:rStyle w:val="Hyperlink"/>
            <w:rFonts w:asciiTheme="minorHAnsi" w:hAnsiTheme="minorHAnsi" w:cs="Arial"/>
          </w:rPr>
          <w:t>Code of Practi</w:t>
        </w:r>
        <w:r>
          <w:rPr>
            <w:rStyle w:val="Hyperlink"/>
            <w:rFonts w:asciiTheme="minorHAnsi" w:hAnsiTheme="minorHAnsi" w:cs="Arial"/>
          </w:rPr>
          <w:t>c</w:t>
        </w:r>
        <w:r w:rsidRPr="007F3F93">
          <w:rPr>
            <w:rStyle w:val="Hyperlink"/>
            <w:rFonts w:asciiTheme="minorHAnsi" w:hAnsiTheme="minorHAnsi" w:cs="Arial"/>
          </w:rPr>
          <w:t>e</w:t>
        </w:r>
      </w:hyperlink>
    </w:p>
    <w:p w:rsidR="00F410C1" w:rsidRPr="007F3F93" w:rsidRDefault="00151AA8" w:rsidP="003842F6">
      <w:pP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7F3F93">
        <w:rPr>
          <w:rFonts w:asciiTheme="minorHAnsi" w:hAnsiTheme="minorHAnsi"/>
          <w:sz w:val="22"/>
          <w:szCs w:val="22"/>
        </w:rPr>
        <w:t xml:space="preserve">Code of Practice </w:t>
      </w:r>
      <w:r w:rsidR="007F3F93" w:rsidRPr="007F3F9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is a practical guide to achieve the standards of health and safety required under the model Work Health and Safety (WHS) Act and model WHS Regulations.</w:t>
      </w:r>
      <w:r w:rsidR="007F3F93" w:rsidRPr="007F3F93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="007F3F93" w:rsidRPr="007F3F93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>Codes of Practice</w:t>
      </w:r>
      <w:r w:rsidR="007F3F93" w:rsidRPr="007F3F93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="007F3F93" w:rsidRPr="007F3F9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provide duty holders with guidance on effective ways to manage work health and safety risks.</w:t>
      </w:r>
      <w:r w:rsidR="007F3F93" w:rsidRPr="007F3F9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7F3F93" w:rsidRPr="00461C76" w:rsidRDefault="007F3F93" w:rsidP="003842F6">
      <w:pPr>
        <w:rPr>
          <w:rFonts w:asciiTheme="minorHAnsi" w:hAnsiTheme="minorHAnsi"/>
          <w:lang w:val="en-US"/>
        </w:rPr>
      </w:pPr>
    </w:p>
    <w:p w:rsidR="00F410C1" w:rsidRPr="00461C76" w:rsidRDefault="00F410C1" w:rsidP="003842F6">
      <w:pPr>
        <w:rPr>
          <w:rFonts w:asciiTheme="minorHAnsi" w:hAnsiTheme="minorHAnsi"/>
          <w:b/>
          <w:lang w:val="en-US"/>
        </w:rPr>
      </w:pPr>
      <w:r w:rsidRPr="00461C76">
        <w:rPr>
          <w:rFonts w:asciiTheme="minorHAnsi" w:hAnsiTheme="minorHAnsi"/>
          <w:b/>
          <w:lang w:val="en-US"/>
        </w:rPr>
        <w:t>Duty Holders</w:t>
      </w:r>
    </w:p>
    <w:p w:rsidR="00F410C1" w:rsidRDefault="00F410C1" w:rsidP="003842F6">
      <w:pPr>
        <w:rPr>
          <w:rFonts w:asciiTheme="minorHAnsi" w:hAnsiTheme="minorHAnsi" w:cs="Arial"/>
          <w:color w:val="000000"/>
          <w:shd w:val="clear" w:color="auto" w:fill="FFFFFF"/>
        </w:rPr>
      </w:pPr>
      <w:r w:rsidRPr="00461C76">
        <w:rPr>
          <w:rFonts w:asciiTheme="minorHAnsi" w:hAnsiTheme="minorHAnsi" w:cs="Arial"/>
          <w:color w:val="000000"/>
          <w:shd w:val="clear" w:color="auto" w:fill="FFFFFF"/>
        </w:rPr>
        <w:t>Everyone has a role to play to ensure that health and safety is a priority in the workplace - Information is available for each of the duty holders here:</w:t>
      </w:r>
    </w:p>
    <w:p w:rsidR="007F3F93" w:rsidRPr="007F3F93" w:rsidRDefault="007F3F93" w:rsidP="003842F6">
      <w:pPr>
        <w:rPr>
          <w:rFonts w:asciiTheme="minorHAnsi" w:hAnsiTheme="minorHAnsi"/>
          <w:sz w:val="22"/>
          <w:szCs w:val="22"/>
          <w:lang w:val="en-US"/>
        </w:rPr>
      </w:pPr>
      <w:r w:rsidRPr="007F3F9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lastRenderedPageBreak/>
        <w:t xml:space="preserve">Note: PCBU or ‘Person Conducting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a </w:t>
      </w:r>
      <w:r w:rsidRPr="007F3F9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Business </w:t>
      </w:r>
      <w:r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or </w:t>
      </w:r>
      <w:bookmarkStart w:id="0" w:name="_GoBack"/>
      <w:bookmarkEnd w:id="0"/>
      <w:r w:rsidRPr="007F3F93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Undertaking’ is</w:t>
      </w:r>
      <w:r w:rsidRPr="007F3F9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the legal entity operating a business or undertaking. A</w:t>
      </w:r>
      <w:r w:rsidRPr="007F3F93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7F3F93">
        <w:rPr>
          <w:rFonts w:asciiTheme="minorHAnsi" w:hAnsiTheme="minorHAnsi" w:cs="Arial"/>
          <w:bCs/>
          <w:color w:val="222222"/>
          <w:sz w:val="22"/>
          <w:szCs w:val="22"/>
          <w:shd w:val="clear" w:color="auto" w:fill="FFFFFF"/>
        </w:rPr>
        <w:t>PCBU</w:t>
      </w:r>
      <w:r w:rsidRPr="007F3F93">
        <w:rPr>
          <w:rStyle w:val="apple-converted-space"/>
          <w:rFonts w:asciiTheme="minorHAnsi" w:hAnsiTheme="minorHAnsi" w:cs="Arial"/>
          <w:color w:val="222222"/>
          <w:sz w:val="22"/>
          <w:szCs w:val="22"/>
          <w:shd w:val="clear" w:color="auto" w:fill="FFFFFF"/>
        </w:rPr>
        <w:t> </w:t>
      </w:r>
      <w:r w:rsidRPr="007F3F9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may be an individual person </w:t>
      </w:r>
      <w:r w:rsidRPr="007F3F9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(sole operator) </w:t>
      </w:r>
      <w:r w:rsidRPr="007F3F93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or an organisation.</w:t>
      </w:r>
    </w:p>
    <w:p w:rsidR="00F410C1" w:rsidRPr="00461C76" w:rsidRDefault="00F410C1" w:rsidP="003842F6">
      <w:pPr>
        <w:rPr>
          <w:rFonts w:asciiTheme="minorHAnsi" w:hAnsiTheme="minorHAnsi"/>
          <w:lang w:val="en-US"/>
        </w:rPr>
      </w:pPr>
    </w:p>
    <w:p w:rsidR="007F3F93" w:rsidRDefault="007F3F93" w:rsidP="003842F6">
      <w:pPr>
        <w:rPr>
          <w:rFonts w:asciiTheme="minorHAnsi" w:hAnsiTheme="minorHAnsi"/>
          <w:lang w:val="en-US"/>
        </w:rPr>
      </w:pPr>
      <w:hyperlink r:id="rId18" w:history="1">
        <w:r w:rsidR="003842F6" w:rsidRPr="007F3F93">
          <w:rPr>
            <w:rStyle w:val="Hyperlink"/>
            <w:rFonts w:asciiTheme="minorHAnsi" w:hAnsiTheme="minorHAnsi"/>
            <w:lang w:val="en-US"/>
          </w:rPr>
          <w:t>PCBUs Duty of Care</w:t>
        </w:r>
      </w:hyperlink>
    </w:p>
    <w:p w:rsidR="005242C0" w:rsidRPr="00461C76" w:rsidRDefault="007F3F93" w:rsidP="003842F6">
      <w:pPr>
        <w:rPr>
          <w:rFonts w:asciiTheme="minorHAnsi" w:hAnsiTheme="minorHAnsi"/>
        </w:rPr>
      </w:pPr>
      <w:hyperlink r:id="rId19" w:history="1">
        <w:r w:rsidR="003842F6" w:rsidRPr="007F3F93">
          <w:rPr>
            <w:rStyle w:val="Hyperlink"/>
            <w:rFonts w:asciiTheme="minorHAnsi" w:hAnsiTheme="minorHAnsi"/>
          </w:rPr>
          <w:t>Officer’s Duty of Care</w:t>
        </w:r>
      </w:hyperlink>
      <w:r w:rsidR="003842F6" w:rsidRPr="00461C76">
        <w:rPr>
          <w:rFonts w:asciiTheme="minorHAnsi" w:hAnsiTheme="minorHAnsi"/>
        </w:rPr>
        <w:t xml:space="preserve"> - </w:t>
      </w:r>
    </w:p>
    <w:p w:rsidR="007F3F93" w:rsidRDefault="007F3F93" w:rsidP="003842F6">
      <w:pPr>
        <w:rPr>
          <w:rFonts w:asciiTheme="minorHAnsi" w:hAnsiTheme="minorHAnsi"/>
        </w:rPr>
      </w:pPr>
      <w:hyperlink r:id="rId20" w:history="1">
        <w:r w:rsidR="003842F6" w:rsidRPr="007F3F93">
          <w:rPr>
            <w:rStyle w:val="Hyperlink"/>
            <w:rFonts w:asciiTheme="minorHAnsi" w:hAnsiTheme="minorHAnsi"/>
          </w:rPr>
          <w:t>Worker’s Duty of Care</w:t>
        </w:r>
      </w:hyperlink>
    </w:p>
    <w:sectPr w:rsidR="007F3F93" w:rsidSect="00F56AD2">
      <w:headerReference w:type="default" r:id="rId21"/>
      <w:pgSz w:w="11906" w:h="16838"/>
      <w:pgMar w:top="156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33" w:rsidRDefault="00097733" w:rsidP="00097733">
      <w:r>
        <w:separator/>
      </w:r>
    </w:p>
  </w:endnote>
  <w:endnote w:type="continuationSeparator" w:id="0">
    <w:p w:rsidR="00097733" w:rsidRDefault="00097733" w:rsidP="0009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33" w:rsidRDefault="00097733" w:rsidP="00097733">
      <w:r>
        <w:separator/>
      </w:r>
    </w:p>
  </w:footnote>
  <w:footnote w:type="continuationSeparator" w:id="0">
    <w:p w:rsidR="00097733" w:rsidRDefault="00097733" w:rsidP="0009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76" w:rsidRDefault="00461C76">
    <w:pPr>
      <w:pStyle w:val="Header"/>
    </w:pPr>
    <w:r>
      <w:rPr>
        <w:noProof/>
      </w:rPr>
      <w:drawing>
        <wp:inline distT="0" distB="0" distL="0" distR="0">
          <wp:extent cx="1435437" cy="484094"/>
          <wp:effectExtent l="0" t="0" r="0" b="0"/>
          <wp:docPr id="2" name="Picture 2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508" cy="484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083"/>
    <w:multiLevelType w:val="hybridMultilevel"/>
    <w:tmpl w:val="D032B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D766C"/>
    <w:multiLevelType w:val="hybridMultilevel"/>
    <w:tmpl w:val="A36CE248"/>
    <w:lvl w:ilvl="0" w:tplc="0C0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2EF07212"/>
    <w:multiLevelType w:val="multilevel"/>
    <w:tmpl w:val="E8AC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E53F93"/>
    <w:multiLevelType w:val="hybridMultilevel"/>
    <w:tmpl w:val="8AA8B21E"/>
    <w:lvl w:ilvl="0" w:tplc="0C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FE6D06"/>
    <w:multiLevelType w:val="hybridMultilevel"/>
    <w:tmpl w:val="A2AC2DB0"/>
    <w:lvl w:ilvl="0" w:tplc="C4989BC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65D3E"/>
    <w:multiLevelType w:val="multilevel"/>
    <w:tmpl w:val="DB9A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331530"/>
    <w:multiLevelType w:val="hybridMultilevel"/>
    <w:tmpl w:val="0346F1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0763B"/>
    <w:multiLevelType w:val="hybridMultilevel"/>
    <w:tmpl w:val="B0BA4F54"/>
    <w:lvl w:ilvl="0" w:tplc="27A664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0878B3"/>
    <w:multiLevelType w:val="hybridMultilevel"/>
    <w:tmpl w:val="BC24623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74E5D"/>
    <w:multiLevelType w:val="hybridMultilevel"/>
    <w:tmpl w:val="FBCC74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A7987"/>
    <w:multiLevelType w:val="hybridMultilevel"/>
    <w:tmpl w:val="DC16F67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52C7D"/>
    <w:multiLevelType w:val="hybridMultilevel"/>
    <w:tmpl w:val="EBD27F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34A07"/>
    <w:multiLevelType w:val="hybridMultilevel"/>
    <w:tmpl w:val="4F1E852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781E79"/>
    <w:multiLevelType w:val="hybridMultilevel"/>
    <w:tmpl w:val="7D1C165E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C7"/>
    <w:rsid w:val="000022BF"/>
    <w:rsid w:val="00046532"/>
    <w:rsid w:val="000837BD"/>
    <w:rsid w:val="000936E3"/>
    <w:rsid w:val="00097733"/>
    <w:rsid w:val="000A6C08"/>
    <w:rsid w:val="000D0160"/>
    <w:rsid w:val="001130AB"/>
    <w:rsid w:val="00147621"/>
    <w:rsid w:val="00151AA8"/>
    <w:rsid w:val="0018253C"/>
    <w:rsid w:val="00205C60"/>
    <w:rsid w:val="00311DF9"/>
    <w:rsid w:val="003316A7"/>
    <w:rsid w:val="003329CC"/>
    <w:rsid w:val="00364F6F"/>
    <w:rsid w:val="003810CE"/>
    <w:rsid w:val="003842F6"/>
    <w:rsid w:val="0040774F"/>
    <w:rsid w:val="004241E5"/>
    <w:rsid w:val="0044204D"/>
    <w:rsid w:val="00461C76"/>
    <w:rsid w:val="004C17E4"/>
    <w:rsid w:val="00511A5F"/>
    <w:rsid w:val="00512999"/>
    <w:rsid w:val="005242C0"/>
    <w:rsid w:val="00540F3A"/>
    <w:rsid w:val="005414D9"/>
    <w:rsid w:val="00543962"/>
    <w:rsid w:val="0058617C"/>
    <w:rsid w:val="005A50BA"/>
    <w:rsid w:val="00640F7F"/>
    <w:rsid w:val="006463B0"/>
    <w:rsid w:val="006A4E2B"/>
    <w:rsid w:val="007364B0"/>
    <w:rsid w:val="00741845"/>
    <w:rsid w:val="007840C7"/>
    <w:rsid w:val="007910D8"/>
    <w:rsid w:val="007F3F93"/>
    <w:rsid w:val="00831EF1"/>
    <w:rsid w:val="00873AF7"/>
    <w:rsid w:val="008B26D2"/>
    <w:rsid w:val="008E447C"/>
    <w:rsid w:val="00912B55"/>
    <w:rsid w:val="00926362"/>
    <w:rsid w:val="00957E7B"/>
    <w:rsid w:val="009B5CBB"/>
    <w:rsid w:val="009D5A11"/>
    <w:rsid w:val="00A55A63"/>
    <w:rsid w:val="00AA4DE1"/>
    <w:rsid w:val="00AF51AB"/>
    <w:rsid w:val="00BD42F9"/>
    <w:rsid w:val="00C403C3"/>
    <w:rsid w:val="00C44B89"/>
    <w:rsid w:val="00C6097F"/>
    <w:rsid w:val="00C71DB1"/>
    <w:rsid w:val="00CB1DDE"/>
    <w:rsid w:val="00CB281A"/>
    <w:rsid w:val="00CE4123"/>
    <w:rsid w:val="00D33025"/>
    <w:rsid w:val="00D35300"/>
    <w:rsid w:val="00D46BF5"/>
    <w:rsid w:val="00D807F7"/>
    <w:rsid w:val="00DA7C2A"/>
    <w:rsid w:val="00DE03EE"/>
    <w:rsid w:val="00E47C7C"/>
    <w:rsid w:val="00E60914"/>
    <w:rsid w:val="00E7250A"/>
    <w:rsid w:val="00EC4C9E"/>
    <w:rsid w:val="00ED28F0"/>
    <w:rsid w:val="00EE615B"/>
    <w:rsid w:val="00F02E30"/>
    <w:rsid w:val="00F410C1"/>
    <w:rsid w:val="00F56AD2"/>
    <w:rsid w:val="00F80FB8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1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sid w:val="00EE615B"/>
    <w:rPr>
      <w:color w:val="0000FF"/>
      <w:u w:val="single"/>
    </w:rPr>
  </w:style>
  <w:style w:type="character" w:customStyle="1" w:styleId="mats">
    <w:name w:val="mats"/>
    <w:semiHidden/>
    <w:rsid w:val="004241E5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4241E5"/>
    <w:rPr>
      <w:b/>
      <w:bCs/>
    </w:rPr>
  </w:style>
  <w:style w:type="character" w:styleId="FollowedHyperlink">
    <w:name w:val="FollowedHyperlink"/>
    <w:rsid w:val="006A4E2B"/>
    <w:rPr>
      <w:color w:val="800080"/>
      <w:u w:val="single"/>
    </w:rPr>
  </w:style>
  <w:style w:type="character" w:customStyle="1" w:styleId="apple-converted-space">
    <w:name w:val="apple-converted-space"/>
    <w:rsid w:val="003810CE"/>
  </w:style>
  <w:style w:type="character" w:styleId="Emphasis">
    <w:name w:val="Emphasis"/>
    <w:uiPriority w:val="20"/>
    <w:qFormat/>
    <w:rsid w:val="003810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810CE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097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7733"/>
    <w:rPr>
      <w:sz w:val="24"/>
      <w:szCs w:val="24"/>
    </w:rPr>
  </w:style>
  <w:style w:type="paragraph" w:styleId="Footer">
    <w:name w:val="footer"/>
    <w:basedOn w:val="Normal"/>
    <w:link w:val="FooterChar"/>
    <w:rsid w:val="00097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7733"/>
    <w:rPr>
      <w:sz w:val="24"/>
      <w:szCs w:val="24"/>
    </w:rPr>
  </w:style>
  <w:style w:type="paragraph" w:styleId="BalloonText">
    <w:name w:val="Balloon Text"/>
    <w:basedOn w:val="Normal"/>
    <w:link w:val="BalloonTextChar"/>
    <w:rsid w:val="0008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B89"/>
    <w:pPr>
      <w:ind w:left="720"/>
      <w:contextualSpacing/>
    </w:pPr>
  </w:style>
  <w:style w:type="paragraph" w:customStyle="1" w:styleId="ms-rtefontsize-3">
    <w:name w:val="ms-rtefontsize-3"/>
    <w:basedOn w:val="Normal"/>
    <w:rsid w:val="00F410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81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uiPriority w:val="99"/>
    <w:rsid w:val="00EE615B"/>
    <w:rPr>
      <w:color w:val="0000FF"/>
      <w:u w:val="single"/>
    </w:rPr>
  </w:style>
  <w:style w:type="character" w:customStyle="1" w:styleId="mats">
    <w:name w:val="mats"/>
    <w:semiHidden/>
    <w:rsid w:val="004241E5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4241E5"/>
    <w:rPr>
      <w:b/>
      <w:bCs/>
    </w:rPr>
  </w:style>
  <w:style w:type="character" w:styleId="FollowedHyperlink">
    <w:name w:val="FollowedHyperlink"/>
    <w:rsid w:val="006A4E2B"/>
    <w:rPr>
      <w:color w:val="800080"/>
      <w:u w:val="single"/>
    </w:rPr>
  </w:style>
  <w:style w:type="character" w:customStyle="1" w:styleId="apple-converted-space">
    <w:name w:val="apple-converted-space"/>
    <w:rsid w:val="003810CE"/>
  </w:style>
  <w:style w:type="character" w:styleId="Emphasis">
    <w:name w:val="Emphasis"/>
    <w:uiPriority w:val="20"/>
    <w:qFormat/>
    <w:rsid w:val="003810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810CE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rsid w:val="00097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7733"/>
    <w:rPr>
      <w:sz w:val="24"/>
      <w:szCs w:val="24"/>
    </w:rPr>
  </w:style>
  <w:style w:type="paragraph" w:styleId="Footer">
    <w:name w:val="footer"/>
    <w:basedOn w:val="Normal"/>
    <w:link w:val="FooterChar"/>
    <w:rsid w:val="00097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97733"/>
    <w:rPr>
      <w:sz w:val="24"/>
      <w:szCs w:val="24"/>
    </w:rPr>
  </w:style>
  <w:style w:type="paragraph" w:styleId="BalloonText">
    <w:name w:val="Balloon Text"/>
    <w:basedOn w:val="Normal"/>
    <w:link w:val="BalloonTextChar"/>
    <w:rsid w:val="00083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B89"/>
    <w:pPr>
      <w:ind w:left="720"/>
      <w:contextualSpacing/>
    </w:pPr>
  </w:style>
  <w:style w:type="paragraph" w:customStyle="1" w:styleId="ms-rtefontsize-3">
    <w:name w:val="ms-rtefontsize-3"/>
    <w:basedOn w:val="Normal"/>
    <w:rsid w:val="00F410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safe.qld.gov.au" TargetMode="External"/><Relationship Id="rId13" Type="http://schemas.openxmlformats.org/officeDocument/2006/relationships/hyperlink" Target="http://www.commerce.wa.gov.au/worksafe" TargetMode="External"/><Relationship Id="rId18" Type="http://schemas.openxmlformats.org/officeDocument/2006/relationships/hyperlink" Target="http://www.comcare.gov.au/promoting/duty_holders/pcbus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fework.sa.gov.au/" TargetMode="External"/><Relationship Id="rId17" Type="http://schemas.openxmlformats.org/officeDocument/2006/relationships/hyperlink" Target="http://www.comcare.gov.au/preventing/governance/procedur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feworkaustralia.gov.au" TargetMode="External"/><Relationship Id="rId20" Type="http://schemas.openxmlformats.org/officeDocument/2006/relationships/hyperlink" Target="http://www.comcare.gov.au/promoting/duty_holders/worke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orksafe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orksafe.act.gov.au/health_safet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rksafe.vic.gov.au/" TargetMode="External"/><Relationship Id="rId19" Type="http://schemas.openxmlformats.org/officeDocument/2006/relationships/hyperlink" Target="http://www.comcare.gov.au/promoting/duty_holders/offic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cover.nsw.gov.au" TargetMode="External"/><Relationship Id="rId14" Type="http://schemas.openxmlformats.org/officeDocument/2006/relationships/hyperlink" Target="http://www.worksafe.nt.gov.au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Valued Customer,</vt:lpstr>
    </vt:vector>
  </TitlesOfParts>
  <Company>Signature Staff</Company>
  <LinksUpToDate>false</LinksUpToDate>
  <CharactersWithSpaces>2613</CharactersWithSpaces>
  <SharedDoc>false</SharedDoc>
  <HLinks>
    <vt:vector size="114" baseType="variant">
      <vt:variant>
        <vt:i4>262153</vt:i4>
      </vt:variant>
      <vt:variant>
        <vt:i4>54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4587610</vt:i4>
      </vt:variant>
      <vt:variant>
        <vt:i4>51</vt:i4>
      </vt:variant>
      <vt:variant>
        <vt:i4>0</vt:i4>
      </vt:variant>
      <vt:variant>
        <vt:i4>5</vt:i4>
      </vt:variant>
      <vt:variant>
        <vt:lpwstr>http://www.safeworkaustralia.gov.au/sites/swa/statistics/ltifr/pages/lost-time-injury-frequency-rates</vt:lpwstr>
      </vt:variant>
      <vt:variant>
        <vt:lpwstr/>
      </vt:variant>
      <vt:variant>
        <vt:i4>6553683</vt:i4>
      </vt:variant>
      <vt:variant>
        <vt:i4>48</vt:i4>
      </vt:variant>
      <vt:variant>
        <vt:i4>0</vt:i4>
      </vt:variant>
      <vt:variant>
        <vt:i4>5</vt:i4>
      </vt:variant>
      <vt:variant>
        <vt:lpwstr>http://comcare.gov.au/WHS/duty_holders/other_duty_holders</vt:lpwstr>
      </vt:variant>
      <vt:variant>
        <vt:lpwstr/>
      </vt:variant>
      <vt:variant>
        <vt:i4>4653172</vt:i4>
      </vt:variant>
      <vt:variant>
        <vt:i4>45</vt:i4>
      </vt:variant>
      <vt:variant>
        <vt:i4>0</vt:i4>
      </vt:variant>
      <vt:variant>
        <vt:i4>5</vt:i4>
      </vt:variant>
      <vt:variant>
        <vt:lpwstr>http://comcare.gov.au/WHS/duty_holders/worker</vt:lpwstr>
      </vt:variant>
      <vt:variant>
        <vt:lpwstr/>
      </vt:variant>
      <vt:variant>
        <vt:i4>4128794</vt:i4>
      </vt:variant>
      <vt:variant>
        <vt:i4>42</vt:i4>
      </vt:variant>
      <vt:variant>
        <vt:i4>0</vt:i4>
      </vt:variant>
      <vt:variant>
        <vt:i4>5</vt:i4>
      </vt:variant>
      <vt:variant>
        <vt:lpwstr>http://comcare.gov.au/WHS/duty_holders/officer</vt:lpwstr>
      </vt:variant>
      <vt:variant>
        <vt:lpwstr/>
      </vt:variant>
      <vt:variant>
        <vt:i4>4587622</vt:i4>
      </vt:variant>
      <vt:variant>
        <vt:i4>39</vt:i4>
      </vt:variant>
      <vt:variant>
        <vt:i4>0</vt:i4>
      </vt:variant>
      <vt:variant>
        <vt:i4>5</vt:i4>
      </vt:variant>
      <vt:variant>
        <vt:lpwstr>http://comcare.gov.au/WHS/duty_holders/pcbus</vt:lpwstr>
      </vt:variant>
      <vt:variant>
        <vt:lpwstr/>
      </vt:variant>
      <vt:variant>
        <vt:i4>3604574</vt:i4>
      </vt:variant>
      <vt:variant>
        <vt:i4>36</vt:i4>
      </vt:variant>
      <vt:variant>
        <vt:i4>0</vt:i4>
      </vt:variant>
      <vt:variant>
        <vt:i4>5</vt:i4>
      </vt:variant>
      <vt:variant>
        <vt:lpwstr>http://comcare.gov.au/__data/assets/pdf_file/0004/96502/WH_and_S_Roles_and_responsibility_summary.pdf</vt:lpwstr>
      </vt:variant>
      <vt:variant>
        <vt:lpwstr/>
      </vt:variant>
      <vt:variant>
        <vt:i4>1704008</vt:i4>
      </vt:variant>
      <vt:variant>
        <vt:i4>33</vt:i4>
      </vt:variant>
      <vt:variant>
        <vt:i4>0</vt:i4>
      </vt:variant>
      <vt:variant>
        <vt:i4>5</vt:i4>
      </vt:variant>
      <vt:variant>
        <vt:lpwstr>http://www.standards.org.au/</vt:lpwstr>
      </vt:variant>
      <vt:variant>
        <vt:lpwstr/>
      </vt:variant>
      <vt:variant>
        <vt:i4>6815827</vt:i4>
      </vt:variant>
      <vt:variant>
        <vt:i4>30</vt:i4>
      </vt:variant>
      <vt:variant>
        <vt:i4>0</vt:i4>
      </vt:variant>
      <vt:variant>
        <vt:i4>5</vt:i4>
      </vt:variant>
      <vt:variant>
        <vt:lpwstr>http://comcare.gov.au/WHS/whs_laws/codes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http://www.comlaw.gov.au/Details/F2011L02664</vt:lpwstr>
      </vt:variant>
      <vt:variant>
        <vt:lpwstr/>
      </vt:variant>
      <vt:variant>
        <vt:i4>93</vt:i4>
      </vt:variant>
      <vt:variant>
        <vt:i4>24</vt:i4>
      </vt:variant>
      <vt:variant>
        <vt:i4>0</vt:i4>
      </vt:variant>
      <vt:variant>
        <vt:i4>5</vt:i4>
      </vt:variant>
      <vt:variant>
        <vt:lpwstr>http://www.comlaw.gov.au/Details/C2011A00137</vt:lpwstr>
      </vt:variant>
      <vt:variant>
        <vt:lpwstr/>
      </vt:variant>
      <vt:variant>
        <vt:i4>2424956</vt:i4>
      </vt:variant>
      <vt:variant>
        <vt:i4>21</vt:i4>
      </vt:variant>
      <vt:variant>
        <vt:i4>0</vt:i4>
      </vt:variant>
      <vt:variant>
        <vt:i4>5</vt:i4>
      </vt:variant>
      <vt:variant>
        <vt:lpwstr>http://www.worksafe.nt.gov.au/home.aspx</vt:lpwstr>
      </vt:variant>
      <vt:variant>
        <vt:lpwstr/>
      </vt:variant>
      <vt:variant>
        <vt:i4>6619196</vt:i4>
      </vt:variant>
      <vt:variant>
        <vt:i4>18</vt:i4>
      </vt:variant>
      <vt:variant>
        <vt:i4>0</vt:i4>
      </vt:variant>
      <vt:variant>
        <vt:i4>5</vt:i4>
      </vt:variant>
      <vt:variant>
        <vt:lpwstr>http://www.safetyline.wa.gov.au/index.html</vt:lpwstr>
      </vt:variant>
      <vt:variant>
        <vt:lpwstr/>
      </vt:variant>
      <vt:variant>
        <vt:i4>2818105</vt:i4>
      </vt:variant>
      <vt:variant>
        <vt:i4>15</vt:i4>
      </vt:variant>
      <vt:variant>
        <vt:i4>0</vt:i4>
      </vt:variant>
      <vt:variant>
        <vt:i4>5</vt:i4>
      </vt:variant>
      <vt:variant>
        <vt:lpwstr>http://www.safework.sa.gov.au/</vt:lpwstr>
      </vt:variant>
      <vt:variant>
        <vt:lpwstr/>
      </vt:variant>
      <vt:variant>
        <vt:i4>7208999</vt:i4>
      </vt:variant>
      <vt:variant>
        <vt:i4>12</vt:i4>
      </vt:variant>
      <vt:variant>
        <vt:i4>0</vt:i4>
      </vt:variant>
      <vt:variant>
        <vt:i4>5</vt:i4>
      </vt:variant>
      <vt:variant>
        <vt:lpwstr>http://www.worksafe.tas.gov.au/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http://www.worksafe.vic.gov.au/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http://www.workcover.nsw.gov.au/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http://www.deir.qld.gov.au/workplace</vt:lpwstr>
      </vt:variant>
      <vt:variant>
        <vt:lpwstr/>
      </vt:variant>
      <vt:variant>
        <vt:i4>589891</vt:i4>
      </vt:variant>
      <vt:variant>
        <vt:i4>0</vt:i4>
      </vt:variant>
      <vt:variant>
        <vt:i4>0</vt:i4>
      </vt:variant>
      <vt:variant>
        <vt:i4>5</vt:i4>
      </vt:variant>
      <vt:variant>
        <vt:lpwstr>http://www.safeworkaustralia.gov.au/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Valued Customer,</dc:title>
  <dc:creator>vlasta</dc:creator>
  <cp:lastModifiedBy>Matts</cp:lastModifiedBy>
  <cp:revision>3</cp:revision>
  <cp:lastPrinted>2011-12-21T03:46:00Z</cp:lastPrinted>
  <dcterms:created xsi:type="dcterms:W3CDTF">2016-08-28T00:28:00Z</dcterms:created>
  <dcterms:modified xsi:type="dcterms:W3CDTF">2016-08-28T03:32:00Z</dcterms:modified>
</cp:coreProperties>
</file>